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8.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3.jpeg" ContentType="image/jpeg"/>
  <Override PartName="/word/media/image2.jpeg" ContentType="image/jpeg"/>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pPr>
      <w:bookmarkStart w:id="0" w:name="_GoBack"/>
      <w:bookmarkEnd w:id="0"/>
      <w:r>
        <w:rPr/>
        <w:drawing>
          <wp:inline distT="0" distB="127000" distL="0" distR="0">
            <wp:extent cx="1485900" cy="802005"/>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6"/>
                    <a:stretch>
                      <a:fillRect/>
                    </a:stretch>
                  </pic:blipFill>
                  <pic:spPr bwMode="auto">
                    <a:xfrm>
                      <a:off x="0" y="0"/>
                      <a:ext cx="1485900" cy="802005"/>
                    </a:xfrm>
                    <a:prstGeom prst="rect">
                      <a:avLst/>
                    </a:prstGeom>
                    <a:noFill/>
                    <a:ln w="9525">
                      <a:noFill/>
                      <a:miter lim="800000"/>
                      <a:headEnd/>
                      <a:tailEnd/>
                    </a:ln>
                  </pic:spPr>
                </pic:pic>
              </a:graphicData>
            </a:graphic>
          </wp:inline>
        </w:drawing>
        <w:pict>
          <v:rect id="shape_0" stroked="f" style="position:absolute;margin-left:0pt;margin-top:0pt;width:117.25pt;height:63.25pt;mso-position-vertical-relative:page">
            <v:imagedata r:id="rId2" detectmouseclick="t"/>
            <v:wrap v:type="none"/>
            <v:stroke color="#3465a4" weight="9360" joinstyle="miter" endcap="flat"/>
          </v:rect>
        </w:pict>
        <w:pict>
          <v:rect id="shape_0" stroked="f" style="position:absolute;margin-left:0pt;margin-top:0pt;width:102.75pt;height:25.8pt;mso-position-vertical-relative:page">
            <v:imagedata r:id="rId3" detectmouseclick="t"/>
            <v:wrap v:type="none"/>
            <v:stroke color="#3465a4" weight="9360" joinstyle="miter" endcap="flat"/>
          </v:rect>
        </w:pict>
        <w:pict>
          <v:rect id="shape_0" stroked="f" style="position:absolute;margin-left:0pt;margin-top:0pt;width:83.15pt;height:39.65pt;mso-position-vertical-relative:page">
            <v:imagedata r:id="rId4" detectmouseclick="t"/>
            <v:wrap v:type="none"/>
            <v:stroke color="#3465a4" weight="9360" joinstyle="miter" endcap="flat"/>
          </v:rect>
        </w:pict>
        <w:pict>
          <v:rect id="shape_0" stroked="f" style="position:absolute;margin-left:0pt;margin-top:0pt;width:78.85pt;height:44.1pt;mso-position-vertical-relative:page">
            <v:imagedata r:id="rId5" detectmouseclick="t"/>
            <v:wrap v:type="none"/>
            <v:stroke color="#3465a4" weight="9360" joinstyle="miter" endcap="flat"/>
          </v:rect>
        </w:pict>
      </w:r>
      <w:r>
        <w:rPr/>
        <w:drawing>
          <wp:inline distT="0" distB="127000" distL="0" distR="0">
            <wp:extent cx="1304925" cy="32829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7"/>
                    <a:stretch>
                      <a:fillRect/>
                    </a:stretch>
                  </pic:blipFill>
                  <pic:spPr bwMode="auto">
                    <a:xfrm>
                      <a:off x="0" y="0"/>
                      <a:ext cx="1304925" cy="328295"/>
                    </a:xfrm>
                    <a:prstGeom prst="rect">
                      <a:avLst/>
                    </a:prstGeom>
                    <a:noFill/>
                    <a:ln w="9525">
                      <a:noFill/>
                      <a:miter lim="800000"/>
                      <a:headEnd/>
                      <a:tailEnd/>
                    </a:ln>
                  </pic:spPr>
                </pic:pic>
              </a:graphicData>
            </a:graphic>
          </wp:inline>
        </w:drawing>
      </w:r>
      <w:r>
        <w:rPr/>
        <w:drawing>
          <wp:inline distT="0" distB="127000" distL="0" distR="0">
            <wp:extent cx="1057275" cy="50482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8"/>
                    <a:stretch>
                      <a:fillRect/>
                    </a:stretch>
                  </pic:blipFill>
                  <pic:spPr bwMode="auto">
                    <a:xfrm>
                      <a:off x="0" y="0"/>
                      <a:ext cx="1057275" cy="504825"/>
                    </a:xfrm>
                    <a:prstGeom prst="rect">
                      <a:avLst/>
                    </a:prstGeom>
                    <a:noFill/>
                    <a:ln w="9525">
                      <a:noFill/>
                      <a:miter lim="800000"/>
                      <a:headEnd/>
                      <a:tailEnd/>
                    </a:ln>
                  </pic:spPr>
                </pic:pic>
              </a:graphicData>
            </a:graphic>
          </wp:inline>
        </w:drawing>
      </w:r>
      <w:r>
        <w:rPr/>
        <w:drawing>
          <wp:inline distT="0" distB="127000" distL="0" distR="0">
            <wp:extent cx="1002665" cy="561975"/>
            <wp:effectExtent l="0" t="0" r="0" b="0"/>
            <wp:docPr id="3"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descr=""/>
                    <pic:cNvPicPr>
                      <a:picLocks noChangeAspect="1" noChangeArrowheads="1"/>
                    </pic:cNvPicPr>
                  </pic:nvPicPr>
                  <pic:blipFill>
                    <a:blip r:embed="rId9"/>
                    <a:stretch>
                      <a:fillRect/>
                    </a:stretch>
                  </pic:blipFill>
                  <pic:spPr bwMode="auto">
                    <a:xfrm>
                      <a:off x="0" y="0"/>
                      <a:ext cx="1002665" cy="561975"/>
                    </a:xfrm>
                    <a:prstGeom prst="rect">
                      <a:avLst/>
                    </a:prstGeom>
                    <a:noFill/>
                    <a:ln w="9525">
                      <a:noFill/>
                      <a:miter lim="800000"/>
                      <a:headEnd/>
                      <a:tailEnd/>
                    </a:ln>
                  </pic:spPr>
                </pic:pic>
              </a:graphicData>
            </a:graphic>
          </wp:inline>
        </w:drawing>
      </w:r>
    </w:p>
    <w:p>
      <w:pPr>
        <w:pStyle w:val="Normal"/>
        <w:pBdr>
          <w:top w:val="single" w:sz="4" w:space="1" w:color="00000A"/>
          <w:left w:val="single" w:sz="4" w:space="4" w:color="00000A"/>
          <w:bottom w:val="single" w:sz="4" w:space="1" w:color="00000A"/>
          <w:right w:val="single" w:sz="4" w:space="4" w:color="00000A"/>
        </w:pBdr>
        <w:shd w:fill="D9D9D9" w:val="clear"/>
        <w:jc w:val="center"/>
        <w:rPr>
          <w:b/>
          <w:sz w:val="28"/>
          <w:szCs w:val="28"/>
          <w:lang w:val="fr-BE"/>
        </w:rPr>
      </w:pPr>
      <w:r>
        <w:rPr>
          <w:b/>
          <w:sz w:val="28"/>
          <w:szCs w:val="28"/>
          <w:lang w:val="fr-BE"/>
        </w:rPr>
        <w:t>CHARTE ANTIDOPAGE POUR CLUBS, EQUIPES ET ORGANISATEURS</w:t>
      </w:r>
    </w:p>
    <w:p>
      <w:pPr>
        <w:pStyle w:val="Normal"/>
        <w:rPr>
          <w:sz w:val="20"/>
          <w:szCs w:val="20"/>
          <w:lang w:val="fr-BE"/>
        </w:rPr>
      </w:pPr>
      <w:r>
        <w:rPr>
          <w:sz w:val="20"/>
          <w:szCs w:val="20"/>
          <w:lang w:val="fr-BE"/>
        </w:rPr>
        <w:t xml:space="preserve">___________________________________________________________________________________________ </w:t>
      </w:r>
    </w:p>
    <w:p>
      <w:pPr>
        <w:pStyle w:val="Normal"/>
        <w:rPr>
          <w:sz w:val="20"/>
          <w:szCs w:val="20"/>
          <w:lang w:val="fr-BE"/>
        </w:rPr>
      </w:pPr>
      <w:r>
        <w:rPr>
          <w:i/>
          <w:sz w:val="20"/>
          <w:szCs w:val="20"/>
          <w:lang w:val="fr-BE"/>
        </w:rPr>
        <w:t>[numéro matricule, nom du club ou dénomination de l’équipe]</w:t>
      </w:r>
      <w:r>
        <w:rPr>
          <w:sz w:val="20"/>
          <w:szCs w:val="20"/>
          <w:lang w:val="fr-BE"/>
        </w:rPr>
        <w:t xml:space="preserve"> </w:t>
      </w:r>
    </w:p>
    <w:p>
      <w:pPr>
        <w:pStyle w:val="Normal"/>
        <w:rPr>
          <w:sz w:val="20"/>
          <w:szCs w:val="20"/>
          <w:lang w:val="fr-BE"/>
        </w:rPr>
      </w:pPr>
      <w:r>
        <w:rPr>
          <w:sz w:val="20"/>
          <w:szCs w:val="20"/>
          <w:lang w:val="fr-BE"/>
        </w:rPr>
        <w:t>représenté par:</w:t>
      </w:r>
    </w:p>
    <w:p>
      <w:pPr>
        <w:pStyle w:val="Normal"/>
        <w:rPr>
          <w:sz w:val="20"/>
          <w:szCs w:val="20"/>
          <w:lang w:val="fr-BE"/>
        </w:rPr>
      </w:pPr>
      <w:r>
        <w:rPr>
          <w:sz w:val="20"/>
          <w:szCs w:val="20"/>
          <w:lang w:val="fr-BE"/>
        </w:rPr>
        <w:t>___________________________________________________________________________________________</w:t>
      </w:r>
    </w:p>
    <w:p>
      <w:pPr>
        <w:pStyle w:val="Normal"/>
        <w:rPr>
          <w:sz w:val="20"/>
          <w:szCs w:val="20"/>
          <w:lang w:val="fr-BE"/>
        </w:rPr>
      </w:pPr>
      <w:r>
        <w:rPr>
          <w:sz w:val="20"/>
          <w:szCs w:val="20"/>
          <w:lang w:val="fr-BE"/>
        </w:rPr>
        <w:t xml:space="preserve"> </w:t>
      </w:r>
      <w:r>
        <w:rPr>
          <w:i/>
          <w:sz w:val="20"/>
          <w:szCs w:val="20"/>
          <w:lang w:val="fr-BE"/>
        </w:rPr>
        <w:t>[nom &amp; fonction]</w:t>
      </w:r>
      <w:r>
        <w:rPr>
          <w:sz w:val="20"/>
          <w:szCs w:val="20"/>
          <w:lang w:val="fr-BE"/>
        </w:rPr>
        <w:t xml:space="preserve"> </w:t>
      </w:r>
    </w:p>
    <w:p>
      <w:pPr>
        <w:pStyle w:val="Normal"/>
        <w:rPr>
          <w:sz w:val="20"/>
          <w:szCs w:val="20"/>
          <w:lang w:val="fr-BE"/>
        </w:rPr>
      </w:pPr>
      <w:r>
        <w:rPr>
          <w:sz w:val="20"/>
          <w:szCs w:val="20"/>
          <w:lang w:val="fr-BE"/>
        </w:rPr>
        <w:t xml:space="preserve"> </w:t>
      </w:r>
      <w:r>
        <w:rPr>
          <w:sz w:val="20"/>
          <w:szCs w:val="20"/>
          <w:lang w:val="fr-BE"/>
        </w:rPr>
        <w:t>___________________________________________________________________________________________</w:t>
      </w:r>
    </w:p>
    <w:p>
      <w:pPr>
        <w:pStyle w:val="Normal"/>
        <w:rPr>
          <w:sz w:val="20"/>
          <w:szCs w:val="20"/>
          <w:lang w:val="fr-BE"/>
        </w:rPr>
      </w:pPr>
      <w:r>
        <w:rPr>
          <w:sz w:val="20"/>
          <w:szCs w:val="20"/>
          <w:lang w:val="fr-BE"/>
        </w:rPr>
        <w:t xml:space="preserve"> </w:t>
      </w:r>
      <w:r>
        <w:rPr>
          <w:i/>
          <w:sz w:val="20"/>
          <w:szCs w:val="20"/>
          <w:lang w:val="fr-BE"/>
        </w:rPr>
        <w:t>[nom &amp; fonction]</w:t>
      </w:r>
      <w:r>
        <w:rPr>
          <w:sz w:val="20"/>
          <w:szCs w:val="20"/>
          <w:lang w:val="fr-BE"/>
        </w:rPr>
        <w:t xml:space="preserve"> </w:t>
      </w:r>
    </w:p>
    <w:p>
      <w:pPr>
        <w:pStyle w:val="Normal"/>
        <w:rPr>
          <w:sz w:val="20"/>
          <w:szCs w:val="20"/>
          <w:lang w:val="fr-BE"/>
        </w:rPr>
      </w:pPr>
      <w:r>
        <w:rPr>
          <w:sz w:val="20"/>
          <w:szCs w:val="20"/>
          <w:lang w:val="fr-BE"/>
        </w:rPr>
        <w:t>Appelé ci-après  “l’organisation cycliste”, souscrit la politique antidopage des fédérations cyclistes RLVB, FCWB et WBV.</w:t>
      </w:r>
    </w:p>
    <w:p>
      <w:pPr>
        <w:pStyle w:val="ListParagraph"/>
        <w:numPr>
          <w:ilvl w:val="0"/>
          <w:numId w:val="1"/>
        </w:numPr>
        <w:rPr>
          <w:sz w:val="20"/>
          <w:szCs w:val="20"/>
          <w:lang w:val="fr-BE"/>
        </w:rPr>
      </w:pPr>
      <w:r>
        <w:rPr>
          <w:sz w:val="20"/>
          <w:szCs w:val="20"/>
          <w:lang w:val="fr-BE"/>
        </w:rPr>
        <w:t>L’organisation cycliste s’engage à donner la priorité à la santé et la sécurité des coureurs.  Elle respectera toujours l’éthique sportive, cela dans l’intérêt du bien-être physique et mental des coureurs.  Ensemble avec la conservation de l’intégrité morale, cela devra aboutir dans des chances égales pour les participants des épreuves cyclistes organisées sous les règlements de l’UCI, RLVB, FCWB ou WBV.</w:t>
      </w:r>
    </w:p>
    <w:p>
      <w:pPr>
        <w:pStyle w:val="ListParagraph"/>
        <w:numPr>
          <w:ilvl w:val="0"/>
          <w:numId w:val="1"/>
        </w:numPr>
        <w:rPr>
          <w:sz w:val="20"/>
          <w:szCs w:val="20"/>
          <w:lang w:val="fr-BE"/>
        </w:rPr>
      </w:pPr>
      <w:r>
        <w:rPr>
          <w:sz w:val="20"/>
          <w:szCs w:val="20"/>
          <w:lang w:val="fr-BE"/>
        </w:rPr>
        <w:t>L’organisation cycliste protégera les coureurs contre toute possible influence qui pourrait les tenter à l’utilisation de produits interdits.</w:t>
      </w:r>
    </w:p>
    <w:p>
      <w:pPr>
        <w:pStyle w:val="ListParagraph"/>
        <w:numPr>
          <w:ilvl w:val="0"/>
          <w:numId w:val="1"/>
        </w:numPr>
        <w:jc w:val="both"/>
        <w:rPr>
          <w:sz w:val="20"/>
          <w:szCs w:val="20"/>
          <w:lang w:val="fr-BE"/>
        </w:rPr>
      </w:pPr>
      <w:r>
        <w:rPr>
          <w:sz w:val="20"/>
          <w:szCs w:val="20"/>
          <w:lang w:val="fr-BE"/>
        </w:rPr>
        <w:t>L’organisation veillera à ce que ces collaborateurs ne prendront aucune initiative à et ne s’impliqueront pas dans des pratiques contraires à l’éthique sportive ou les règlements sur la lutte contre le dopage.</w:t>
      </w:r>
    </w:p>
    <w:p>
      <w:pPr>
        <w:pStyle w:val="ListParagraph"/>
        <w:numPr>
          <w:ilvl w:val="0"/>
          <w:numId w:val="1"/>
        </w:numPr>
        <w:jc w:val="both"/>
        <w:rPr>
          <w:sz w:val="20"/>
          <w:szCs w:val="20"/>
          <w:lang w:val="fr-BE"/>
        </w:rPr>
      </w:pPr>
      <w:r>
        <w:rPr>
          <w:sz w:val="20"/>
          <w:szCs w:val="20"/>
          <w:lang w:val="fr-BE"/>
        </w:rPr>
        <w:t xml:space="preserve">L’organisation cycliste informera immédiatement l’instance fédérale compétente sur une enquête menée contre l’organisation même ou un de ces collaborateurs, sur un fait sensible qui peut mener à une infraction sur les règlementations antidopages. </w:t>
      </w:r>
    </w:p>
    <w:p>
      <w:pPr>
        <w:pStyle w:val="ListParagraph"/>
        <w:numPr>
          <w:ilvl w:val="0"/>
          <w:numId w:val="1"/>
        </w:numPr>
        <w:jc w:val="both"/>
        <w:rPr>
          <w:sz w:val="20"/>
          <w:szCs w:val="20"/>
          <w:lang w:val="fr-BE"/>
        </w:rPr>
      </w:pPr>
      <w:r>
        <w:rPr>
          <w:sz w:val="20"/>
          <w:szCs w:val="20"/>
          <w:lang w:val="fr-BE"/>
        </w:rPr>
        <w:t>L’organisation cycliste s’engage également à informer immédiatement l’instance fédérale compétente et/ou la Fédération Wallonie-Bruxelles concernant des faits contraires à l’éthique sportive ou les règlementations de la lutte contre le dopage.</w:t>
      </w:r>
    </w:p>
    <w:p>
      <w:pPr>
        <w:pStyle w:val="ListParagraph"/>
        <w:numPr>
          <w:ilvl w:val="0"/>
          <w:numId w:val="1"/>
        </w:numPr>
        <w:jc w:val="both"/>
        <w:rPr>
          <w:sz w:val="20"/>
          <w:szCs w:val="20"/>
          <w:lang w:val="fr-BE"/>
        </w:rPr>
      </w:pPr>
      <w:r>
        <w:rPr>
          <w:sz w:val="20"/>
          <w:szCs w:val="20"/>
          <w:lang w:val="fr-BE"/>
        </w:rPr>
        <w:t>L’organisateur d’épreuves cyclistes s’engage à inviter et admettre uniquement des clubs ou équipes qui ont signés ce charte ou un charte international equivalent.</w:t>
      </w:r>
    </w:p>
    <w:p>
      <w:pPr>
        <w:pStyle w:val="Normal"/>
        <w:rPr>
          <w:sz w:val="20"/>
          <w:szCs w:val="20"/>
          <w:lang w:val="fr-BE"/>
        </w:rPr>
      </w:pPr>
      <w:r>
        <w:rPr>
          <w:sz w:val="20"/>
          <w:szCs w:val="20"/>
          <w:lang w:val="fr-BE"/>
        </w:rPr>
      </w:r>
    </w:p>
    <w:p>
      <w:pPr>
        <w:pStyle w:val="Normal"/>
        <w:rPr>
          <w:sz w:val="20"/>
          <w:szCs w:val="20"/>
          <w:lang w:val="fr-BE"/>
        </w:rPr>
      </w:pPr>
      <w:r>
        <w:rPr>
          <w:sz w:val="20"/>
          <w:szCs w:val="20"/>
          <w:lang w:val="fr-BE"/>
        </w:rPr>
        <w:t>Rédigé à ________________</w:t>
        <w:tab/>
        <w:tab/>
        <w:t>le __ / __ / _____</w:t>
      </w:r>
    </w:p>
    <w:p>
      <w:pPr>
        <w:pStyle w:val="Normal"/>
        <w:rPr>
          <w:sz w:val="20"/>
          <w:szCs w:val="20"/>
          <w:lang w:val="fr-BE"/>
        </w:rPr>
      </w:pPr>
      <w:r>
        <w:rPr>
          <w:sz w:val="20"/>
          <w:szCs w:val="20"/>
          <w:lang w:val="fr-BE"/>
        </w:rPr>
      </w:r>
    </w:p>
    <w:p>
      <w:pPr>
        <w:pStyle w:val="Normal"/>
        <w:rPr>
          <w:sz w:val="20"/>
          <w:szCs w:val="20"/>
          <w:lang w:val="fr-BE"/>
        </w:rPr>
      </w:pPr>
      <w:r>
        <w:rPr>
          <w:sz w:val="20"/>
          <w:szCs w:val="20"/>
          <w:lang w:val="fr-BE"/>
        </w:rPr>
      </w:r>
    </w:p>
    <w:p>
      <w:pPr>
        <w:pStyle w:val="Normal"/>
        <w:spacing w:lineRule="auto" w:line="240" w:before="0" w:after="0"/>
        <w:rPr>
          <w:sz w:val="20"/>
          <w:szCs w:val="20"/>
          <w:lang w:val="fr-BE"/>
        </w:rPr>
      </w:pPr>
      <w:r>
        <w:rPr>
          <w:sz w:val="20"/>
          <w:szCs w:val="20"/>
          <w:lang w:val="fr-BE"/>
        </w:rPr>
        <w:t>_______________________</w:t>
        <w:tab/>
        <w:tab/>
        <w:tab/>
        <w:tab/>
        <w:tab/>
        <w:tab/>
        <w:t>_______________________</w:t>
      </w:r>
    </w:p>
    <w:p>
      <w:pPr>
        <w:pStyle w:val="Normal"/>
        <w:spacing w:lineRule="auto" w:line="240" w:before="0" w:after="0"/>
        <w:rPr>
          <w:i/>
          <w:sz w:val="20"/>
          <w:szCs w:val="20"/>
          <w:lang w:val="fr-BE"/>
        </w:rPr>
      </w:pPr>
      <w:r>
        <w:rPr>
          <w:i/>
          <w:sz w:val="20"/>
          <w:szCs w:val="20"/>
          <w:lang w:val="fr-BE"/>
        </w:rPr>
        <w:t>[Nom et signature]</w:t>
        <w:tab/>
        <w:tab/>
        <w:tab/>
        <w:tab/>
        <w:tab/>
        <w:tab/>
        <w:tab/>
        <w:t>[Nom et signature]</w:t>
      </w:r>
    </w:p>
    <w:sectPr>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docDefaults>
    <w:rPrDefault>
      <w:rPr>
        <w:rFonts w:ascii="Calibri" w:hAnsi="Calibri" w:eastAsia="SimSun" w:cs="Calibri"/>
        <w:sz w:val="22"/>
        <w:szCs w:val="22"/>
        <w:lang w:val="nl-BE" w:eastAsia="en-US" w:bidi="ar-SA"/>
      </w:rPr>
    </w:rPrDefault>
    <w:pPrDefault>
      <w:pPr>
        <w:spacing w:lineRule="auto" w:line="276"/>
      </w:pPr>
    </w:pPrDefault>
  </w:docDefaults>
  <w:style w:type="paragraph" w:styleId="Normal">
    <w:name w:val="Normal"/>
    <w:pPr>
      <w:widowControl/>
      <w:suppressAutoHyphens w:val="true"/>
      <w:kinsoku w:val="true"/>
      <w:overflowPunct w:val="true"/>
      <w:autoSpaceDE w:val="true"/>
      <w:bidi w:val="0"/>
      <w:spacing w:lineRule="auto" w:line="276" w:before="0" w:after="200"/>
    </w:pPr>
    <w:rPr>
      <w:rFonts w:ascii="Calibri" w:hAnsi="Calibri" w:eastAsia="SimSun" w:cs="Calibri"/>
      <w:color w:val="auto"/>
      <w:sz w:val="22"/>
      <w:szCs w:val="22"/>
      <w:lang w:val="nl-BE" w:eastAsia="en-US" w:bidi="ar-SA"/>
    </w:rPr>
  </w:style>
  <w:style w:type="character" w:styleId="DefaultParagraphFont">
    <w:name w:val="Default Paragraph Font"/>
    <w:rPr/>
  </w:style>
  <w:style w:type="character" w:styleId="TextedebullesCar">
    <w:name w:val="Texte de bulles Car"/>
    <w:basedOn w:val="DefaultParagraphFont"/>
    <w:rPr>
      <w:rFonts w:ascii="Tahoma" w:hAnsi="Tahoma" w:cs="Tahoma"/>
      <w:sz w:val="16"/>
      <w:szCs w:val="16"/>
    </w:rPr>
  </w:style>
  <w:style w:type="character" w:styleId="LienInternet">
    <w:name w:val="Lien Internet"/>
    <w:basedOn w:val="DefaultParagraphFont"/>
    <w:rPr>
      <w:color w:val="0000FF"/>
      <w:u w:val="single"/>
      <w:lang w:val="zxx" w:eastAsia="zxx" w:bidi="zxx"/>
    </w:rPr>
  </w:style>
  <w:style w:type="character" w:styleId="ListLabel1">
    <w:name w:val="ListLabel 1"/>
    <w:rPr>
      <w:rFonts w:cs="Calibri"/>
    </w:rPr>
  </w:style>
  <w:style w:type="character" w:styleId="ListLabel2">
    <w:name w:val="ListLabel 2"/>
    <w:rPr>
      <w:rFonts w:cs="Courier New"/>
    </w:rPr>
  </w:style>
  <w:style w:type="paragraph" w:styleId="Titre">
    <w:name w:val="Titre"/>
    <w:basedOn w:val="Normal"/>
    <w:next w:val="Corpsdetexte"/>
    <w:pPr>
      <w:keepNext/>
      <w:spacing w:before="240" w:after="120"/>
    </w:pPr>
    <w:rPr>
      <w:rFonts w:ascii="Arial" w:hAnsi="Arial" w:eastAsia="Microsoft YaHei" w:cs="Mangal"/>
      <w:sz w:val="28"/>
      <w:szCs w:val="28"/>
    </w:rPr>
  </w:style>
  <w:style w:type="paragraph" w:styleId="Corpsdetexte">
    <w:name w:val="Corps de texte"/>
    <w:basedOn w:val="Normal"/>
    <w:pPr>
      <w:spacing w:before="0" w:after="120"/>
    </w:pPr>
    <w:rPr/>
  </w:style>
  <w:style w:type="paragraph" w:styleId="Liste">
    <w:name w:val="Liste"/>
    <w:basedOn w:val="Corpsdetexte"/>
    <w:pPr/>
    <w:rPr>
      <w:rFonts w:cs="Mangal"/>
    </w:rPr>
  </w:style>
  <w:style w:type="paragraph" w:styleId="Lgende">
    <w:name w:val="Légende"/>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BalloonText">
    <w:name w:val="Balloon Text"/>
    <w:basedOn w:val="Normal"/>
    <w:pPr>
      <w:spacing w:lineRule="auto" w:line="240" w:before="0" w:after="0"/>
    </w:pPr>
    <w:rPr>
      <w:rFonts w:ascii="Tahoma" w:hAnsi="Tahoma" w:cs="Tahoma"/>
      <w:sz w:val="16"/>
      <w:szCs w:val="16"/>
    </w:rPr>
  </w:style>
  <w:style w:type="paragraph" w:styleId="ListParagraph">
    <w:name w:val="List Paragraph"/>
    <w:basedOn w:val="Normal"/>
    <w:pPr>
      <w:ind w:left="72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OpenOffice/4.0.1$Win32 OpenOffice.org_project/401m5$Build-9714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2015-04-07T14:02:00Z</dcterms:created>
  <dc:creator>PhilippeM</dc:creator>
  <dc:language>fr-FR</dc:language>
  <cp:lastModifiedBy>fernand LAMBERT</cp:lastModifiedBy>
  <dcterms:modified xsi:type="dcterms:W3CDTF">2015-04-07T14:03:00Z</dcterms:modified>
  <cp:revision>5</cp:revision>
</cp:coreProperties>
</file>